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707"/>
        <w:gridCol w:w="5355"/>
      </w:tblGrid>
      <w:tr>
        <w:trPr>
          <w:trHeight w:val="1" w:hRule="atLeast"/>
          <w:jc w:val="left"/>
        </w:trPr>
        <w:tc>
          <w:tcPr>
            <w:tcW w:w="90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Školski projekt:         Tradicijske frizure imotske krajine</w:t>
            </w:r>
          </w:p>
        </w:tc>
      </w:tr>
      <w:tr>
        <w:trPr>
          <w:trHeight w:val="1" w:hRule="atLeast"/>
          <w:jc w:val="left"/>
        </w:trPr>
        <w:tc>
          <w:tcPr>
            <w:tcW w:w="37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Odgojno-obrazovni ishodi </w:t>
            </w:r>
          </w:p>
        </w:tc>
        <w:tc>
          <w:tcPr>
            <w:tcW w:w="5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-navesti ljekovito bilje koje se koristi u frizerstvu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-povezati odabir bilja s tipom i stanjem kose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napraviti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šampon i regenerator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upotrijebiti pripremljene preparate na kosi</w:t>
            </w:r>
          </w:p>
        </w:tc>
      </w:tr>
      <w:tr>
        <w:trPr>
          <w:trHeight w:val="3536" w:hRule="auto"/>
          <w:jc w:val="left"/>
        </w:trPr>
        <w:tc>
          <w:tcPr>
            <w:tcW w:w="37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Odgojno-obrazovna 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čekivanja međupredmetnih tema</w:t>
            </w:r>
          </w:p>
        </w:tc>
        <w:tc>
          <w:tcPr>
            <w:tcW w:w="5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Ikt C.5.2. 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čenik samostalno i samoinicijativno provodi složeno pretraživanje informacija u digitalnome okružju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Ikt D.5.3. 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čenik samostalno ili u suradnji s kolegama predočava, stvara i dijeli nove ideje i uratke s pomoću IKT-a</w:t>
            </w:r>
          </w:p>
          <w:p>
            <w:pPr>
              <w:spacing w:before="0" w:after="48" w:line="336"/>
              <w:ind w:right="0" w:left="0" w:firstLine="0"/>
              <w:jc w:val="left"/>
              <w:rPr>
                <w:rFonts w:ascii="Calibri" w:hAnsi="Calibri" w:cs="Calibri" w:eastAsia="Calibri"/>
                <w:color w:val="231F2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231F20"/>
                <w:spacing w:val="0"/>
                <w:position w:val="0"/>
                <w:sz w:val="22"/>
                <w:shd w:fill="FFFFFF" w:val="clear"/>
              </w:rPr>
              <w:t xml:space="preserve">osr B.5.2. Suradni</w:t>
            </w:r>
            <w:r>
              <w:rPr>
                <w:rFonts w:ascii="Calibri" w:hAnsi="Calibri" w:cs="Calibri" w:eastAsia="Calibri"/>
                <w:color w:val="231F20"/>
                <w:spacing w:val="0"/>
                <w:position w:val="0"/>
                <w:sz w:val="22"/>
                <w:shd w:fill="FFFFFF" w:val="clear"/>
              </w:rPr>
              <w:t xml:space="preserve">čki uči i radi u timu.</w:t>
            </w:r>
          </w:p>
          <w:p>
            <w:pPr>
              <w:spacing w:before="0" w:after="48" w:line="336"/>
              <w:ind w:right="0" w:left="0" w:firstLine="0"/>
              <w:jc w:val="left"/>
              <w:rPr>
                <w:rFonts w:ascii="Calibri" w:hAnsi="Calibri" w:cs="Calibri" w:eastAsia="Calibri"/>
                <w:color w:val="231F2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48" w:line="33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Namjena aktivnosti</w:t>
            </w:r>
          </w:p>
        </w:tc>
        <w:tc>
          <w:tcPr>
            <w:tcW w:w="5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-istra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živanjem u digitalnom okružju otkriti tradicijske frizure imotskog područja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-pripremanje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potrebnih alata i pribora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-izrada frizura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čuvanje tradicijskih vrijednosti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Nositelji</w:t>
            </w:r>
          </w:p>
        </w:tc>
        <w:tc>
          <w:tcPr>
            <w:tcW w:w="5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Ivana Jukić i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Vesna Bili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 stručni učitelji mentori i učenice trećeg razreda zanimanja frizer</w:t>
            </w:r>
          </w:p>
        </w:tc>
      </w:tr>
      <w:tr>
        <w:trPr>
          <w:trHeight w:val="1" w:hRule="atLeast"/>
          <w:jc w:val="left"/>
        </w:trPr>
        <w:tc>
          <w:tcPr>
            <w:tcW w:w="370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čin realizacije i faze izvođenja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školi tijekom nastave i kod kuće</w:t>
            </w:r>
          </w:p>
        </w:tc>
      </w:tr>
      <w:tr>
        <w:trPr>
          <w:trHeight w:val="1" w:hRule="atLeast"/>
          <w:jc w:val="left"/>
        </w:trPr>
        <w:tc>
          <w:tcPr>
            <w:tcW w:w="370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-upute 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čenicima o svim aktivnostima  projekta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-istra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živanje učenika o zadanim zadacima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-izlaganje rezultata istra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živanja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pojedina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čnim radom izrada pronađenih frizura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-objava radova na stranici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škole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Vremenik</w:t>
            </w:r>
          </w:p>
        </w:tc>
        <w:tc>
          <w:tcPr>
            <w:tcW w:w="5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velja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ča-svibanj</w:t>
            </w:r>
          </w:p>
        </w:tc>
      </w:tr>
      <w:tr>
        <w:trPr>
          <w:trHeight w:val="1" w:hRule="atLeast"/>
          <w:jc w:val="left"/>
        </w:trPr>
        <w:tc>
          <w:tcPr>
            <w:tcW w:w="37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škovnik</w:t>
            </w:r>
          </w:p>
        </w:tc>
        <w:tc>
          <w:tcPr>
            <w:tcW w:w="5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---------</w:t>
            </w:r>
          </w:p>
        </w:tc>
      </w:tr>
      <w:tr>
        <w:trPr>
          <w:trHeight w:val="1" w:hRule="atLeast"/>
          <w:jc w:val="left"/>
        </w:trPr>
        <w:tc>
          <w:tcPr>
            <w:tcW w:w="37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Vrednovanje</w:t>
            </w:r>
          </w:p>
        </w:tc>
        <w:tc>
          <w:tcPr>
            <w:tcW w:w="5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Upitnici zadovoljstva projektom, zajedni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čka analiza i kritički osvrt, primjena naučenog u budućem radu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